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61" w:rsidRDefault="00DA7D61" w:rsidP="00DA7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s-Latn-BA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bs-Latn-BA" w:eastAsia="en-GB"/>
        </w:rPr>
        <w:t>Sektor za poreze:</w:t>
      </w:r>
    </w:p>
    <w:p w:rsidR="00DA7D61" w:rsidRPr="00DA7D61" w:rsidRDefault="00DA7D61" w:rsidP="00DA7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BA" w:eastAsia="en-GB"/>
        </w:rPr>
      </w:pPr>
      <w:r w:rsidRPr="00DA7D61">
        <w:rPr>
          <w:rFonts w:ascii="Times New Roman" w:eastAsia="Times New Roman" w:hAnsi="Times New Roman" w:cs="Times New Roman"/>
          <w:iCs/>
          <w:sz w:val="28"/>
          <w:szCs w:val="28"/>
          <w:lang w:val="sr-Latn-BA" w:eastAsia="en-GB"/>
        </w:rPr>
        <w:t xml:space="preserve">Članom 30. stav 1. tačka g) Zakona o akcizama u BiH (“Službeni glasnik BiH”, broj: 49/09, 49/14, 60/14 I 91/17), koji član nosi naziv “oslobađanje”, propisano je da se od plaćanja akcize oslobađa uvoz i/ili isporuku alkohola koji se koristi kao repromaterijal za proizvodnju alkoholnih pića, licu registrovanom za proizvodnju u skladu sa članom 13. ovog zakona. </w:t>
      </w:r>
    </w:p>
    <w:p w:rsidR="00DA7D61" w:rsidRPr="00DA7D61" w:rsidRDefault="00DA7D61" w:rsidP="00DA7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BA" w:eastAsia="en-GB"/>
        </w:rPr>
      </w:pPr>
      <w:r w:rsidRPr="00DA7D61">
        <w:rPr>
          <w:rFonts w:ascii="Times New Roman" w:eastAsia="Times New Roman" w:hAnsi="Times New Roman" w:cs="Times New Roman"/>
          <w:iCs/>
          <w:sz w:val="28"/>
          <w:szCs w:val="28"/>
          <w:lang w:val="sr-Latn-BA" w:eastAsia="en-GB"/>
        </w:rPr>
        <w:t>Dakle, prema navedenom jedino je od plaćanja akcize direktno oslobođen (bez prethodnog plaćanja, pa naknadnog traženja povrata) uvoz i/ili isporuku alkohola koji se koristi kao repromaterijal za proizvodnju alkoholnih pića, dok je za alkohola koji se koristi u procesu proizvodnje lijekova i/ili u medicinske svrhe, kao i etil-alkohol koji koriste kao repromaterijal u proizvodnji sredstava za čišćenje i pranje, kozmetičkih proizvoda i ostalih proizvoda na koje se ne plaća akciza, imaju pravo na povrat uplaćenog iznosa akcize.   Navedeno je propisano članom 31. stav 2. Zakona o akcizama u BiH.</w:t>
      </w:r>
    </w:p>
    <w:p w:rsidR="00DA7D61" w:rsidRPr="00DA7D61" w:rsidRDefault="00DA7D61" w:rsidP="00DA7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BA" w:eastAsia="en-GB"/>
        </w:rPr>
      </w:pPr>
      <w:r w:rsidRPr="00DA7D61">
        <w:rPr>
          <w:rFonts w:ascii="Times New Roman" w:eastAsia="Times New Roman" w:hAnsi="Times New Roman" w:cs="Times New Roman"/>
          <w:iCs/>
          <w:sz w:val="28"/>
          <w:szCs w:val="28"/>
          <w:lang w:val="sr-Latn-BA" w:eastAsia="en-GB"/>
        </w:rPr>
        <w:t>Prema tome UIO, shodno navedenim odredbama, nema mogućnost, odnosno zakonski okvir za udovoljavanje navedenom zahtjevu, ali cijenimo bitnim, zbog nastale situacije u BiH, da vas o navedenoj incijativi obavijestimo radi eventualnog upoznavanja Vijeća ministara BiH i mogućeg iznalaženja načina od strane Vijeća ministara u vezi sa datim zahtjevom iz akta pomenutog Ministarstva.</w:t>
      </w:r>
    </w:p>
    <w:p w:rsidR="00DA7D61" w:rsidRPr="00DA7D61" w:rsidRDefault="00DA7D61" w:rsidP="00DA7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A7D61">
        <w:rPr>
          <w:rFonts w:ascii="Times New Roman" w:eastAsia="Times New Roman" w:hAnsi="Times New Roman" w:cs="Times New Roman"/>
          <w:sz w:val="28"/>
          <w:szCs w:val="28"/>
          <w:lang w:val="bs-Cyrl-BA" w:eastAsia="en-GB"/>
        </w:rPr>
        <w:t>Postupak prinudne naplate indirektnih poreza, ostalih prihoda i taksi provodi se na način i pod uslovima propisanim odredbama Zakona o postupku indirektnog oporezivanja („Službeni glasnik BiH“ broj 89/05, 100/13), Zakona o postupku prinudne naplate indirektnih poreza, Pravilnika o provođenju postupk</w:t>
      </w:r>
      <w:r w:rsidRPr="00DA7D61">
        <w:rPr>
          <w:rFonts w:ascii="Times New Roman" w:eastAsia="Times New Roman" w:hAnsi="Times New Roman" w:cs="Times New Roman"/>
          <w:sz w:val="28"/>
          <w:szCs w:val="28"/>
          <w:lang w:val="sr-Latn-BA" w:eastAsia="en-GB"/>
        </w:rPr>
        <w:t>a</w:t>
      </w:r>
      <w:r w:rsidRPr="00DA7D61">
        <w:rPr>
          <w:rFonts w:ascii="Times New Roman" w:eastAsia="Times New Roman" w:hAnsi="Times New Roman" w:cs="Times New Roman"/>
          <w:sz w:val="28"/>
          <w:szCs w:val="28"/>
          <w:lang w:val="bs-Cyrl-BA" w:eastAsia="en-GB"/>
        </w:rPr>
        <w:t xml:space="preserve">u prinudne naplate indirektnih poreza („Službeni glasnik BiH“ broj </w:t>
      </w:r>
      <w:r w:rsidRPr="00DA7D61">
        <w:rPr>
          <w:rFonts w:ascii="Times New Roman" w:eastAsia="Times New Roman" w:hAnsi="Times New Roman" w:cs="Times New Roman"/>
          <w:sz w:val="28"/>
          <w:szCs w:val="28"/>
          <w:lang w:val="sr-Latn-BA" w:eastAsia="en-GB"/>
        </w:rPr>
        <w:t>35/20</w:t>
      </w:r>
      <w:r w:rsidRPr="00DA7D61">
        <w:rPr>
          <w:rFonts w:ascii="Times New Roman" w:eastAsia="Times New Roman" w:hAnsi="Times New Roman" w:cs="Times New Roman"/>
          <w:sz w:val="28"/>
          <w:szCs w:val="28"/>
          <w:lang w:val="bs-Cyrl-BA" w:eastAsia="en-GB"/>
        </w:rPr>
        <w:t xml:space="preserve">) i </w:t>
      </w:r>
      <w:r w:rsidRPr="00DA7D61">
        <w:rPr>
          <w:rFonts w:ascii="Times New Roman" w:eastAsia="Times New Roman" w:hAnsi="Times New Roman" w:cs="Times New Roman"/>
          <w:sz w:val="28"/>
          <w:szCs w:val="28"/>
          <w:lang w:val="sr-Latn-BA" w:eastAsia="en-GB"/>
        </w:rPr>
        <w:t xml:space="preserve">trenutno važećeg </w:t>
      </w:r>
      <w:r w:rsidRPr="00DA7D61">
        <w:rPr>
          <w:rFonts w:ascii="Times New Roman" w:eastAsia="Times New Roman" w:hAnsi="Times New Roman" w:cs="Times New Roman"/>
          <w:sz w:val="28"/>
          <w:szCs w:val="28"/>
          <w:lang w:val="bs-Cyrl-BA" w:eastAsia="en-GB"/>
        </w:rPr>
        <w:t xml:space="preserve">Uputstva o prinudnoj naplati („Službeni glasnik BiH“ broj 02/14) </w:t>
      </w:r>
      <w:r w:rsidRPr="00DA7D61">
        <w:rPr>
          <w:rFonts w:ascii="Times New Roman" w:eastAsia="Times New Roman" w:hAnsi="Times New Roman" w:cs="Times New Roman"/>
          <w:sz w:val="28"/>
          <w:szCs w:val="28"/>
          <w:lang w:val="sr-Latn-BA" w:eastAsia="en-GB"/>
        </w:rPr>
        <w:t xml:space="preserve">– novo Uputsvo u procesu usvajanja. </w:t>
      </w:r>
    </w:p>
    <w:p w:rsidR="00DA7D61" w:rsidRPr="00DA7D61" w:rsidRDefault="00DA7D61" w:rsidP="00DA7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BA" w:eastAsia="en-GB"/>
        </w:rPr>
      </w:pPr>
      <w:r w:rsidRPr="00DA7D61">
        <w:rPr>
          <w:rFonts w:ascii="Times New Roman" w:eastAsia="Times New Roman" w:hAnsi="Times New Roman" w:cs="Times New Roman"/>
          <w:sz w:val="28"/>
          <w:szCs w:val="28"/>
          <w:lang w:val="sr-Latn-BA" w:eastAsia="en-GB"/>
        </w:rPr>
        <w:t xml:space="preserve">Obzirom da je kod dužnika Euro lab doo Banja Luka pokrenut postupak prinudne naplate na osnovu dostavljenih izvještaja o dugu od Odsjeka za carinske poslove u RC Tuzla I RC Banja Luka, I da su rješenja o utvrđivanju obaveze po osnovu carinskih dažbina, na snazi, I izvršna, postupak se mora provesti u skladu sa propisanim pravilima. </w:t>
      </w:r>
    </w:p>
    <w:p w:rsidR="008F4FA6" w:rsidRPr="00DA7D61" w:rsidRDefault="008F4FA6" w:rsidP="00DA7D61">
      <w:pPr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bookmarkStart w:id="0" w:name="_GoBack"/>
      <w:bookmarkEnd w:id="0"/>
    </w:p>
    <w:sectPr w:rsidR="008F4FA6" w:rsidRPr="00DA7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61"/>
    <w:rsid w:val="001F353A"/>
    <w:rsid w:val="008F4FA6"/>
    <w:rsid w:val="00D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999EE-D86B-4747-80E6-E7E8D6A8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2020-07-31T12:53:00Z</dcterms:created>
  <dcterms:modified xsi:type="dcterms:W3CDTF">2020-07-31T12:55:00Z</dcterms:modified>
</cp:coreProperties>
</file>