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Sektor za carine je pripremio odgovor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, koji se ogleda u sl</w:t>
      </w:r>
      <w:bookmarkStart w:id="0" w:name="_GoBack"/>
      <w:bookmarkEnd w:id="0"/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jedećem: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„S obzirom na postavljena pitanja koja se odnose na nadležnosti Sektora za carine i svrstavanje određene robe u carinsku tarifu, ovom prilikom vas obavještavamo da je prema Članu 7. Zakona o carinskoj politici BiH („Službeni glasnik BiH”, broj 57/04, 51/06, 93/08, 54/10 i 76/11) tarifno razvrstavanje robe određivanje, prema važećim propisima, podbroja Carinske tarife BiH u koji se navedena roba treba razvrstati. Odluku o utvrđivanju Carinske tarife Bosne i Hercegovine donosi Vijeće ministara BiH svake godine, koja između ostalog obuhvata nomenklaturu roba koja je u skladu sa Harmonizovanim sistemom i sa Kombinovanom nomenklaturom koju koristi Evropska unija.  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Pored navedenog, naglašavamo da kako u Carinskoj  tarifi BiH, za sada nema napomena niti objašnjenja kojima bi se regulisala oblast denaturacije etanola (ili neki drugi provedbeni propisi). Tarifna i statistička nomenklatura BiH, se shodno Zakonu o Carinskoj tarifi   ("Službeni   glasnik   BiH"  broj  58/12), kako je i ranije navedeno, zasniva na prijedlogu kojeg priprema Ministarstvo spoljne trgovine i ekonomskih odnosa BiH, a usvaja Vijeće ministara BiH. Uprava se u dosadašnjem radu rukovodila isključivo dostupnim smjernicama i alatima za svrstavanje robe datim Komentarima Harmonizovanog sistema i Kombinovane nomenklature, te preporukama o poštivanju dobrih praksi Evropske  unije (kao npr.Postupak denaturiranja koji se koristi u svim državama članicama opisan u tački I Provedbene  Uredbe  Komisije  (EU)  br.  162/2013 od  21.02. 2013. o izmjeni Priloga Uredbi (EZ) br. 3199/93 o uzajamnom priznavanju postupaka   za potpuno denaturiranje alkohola radi oslobođenja od trošarine). 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S obzirom da prema odredbama Zakona o akcizama u BiH i Pravilnika o primjeni  zakona o akcizama u BiH, proizilazi da te odredbe ne prave razliku u akciznom opterećenju etanola sa aspekta korištenja denaturanata i sa stanovista  naplate akcize (za etanol koji će se koristiti kao repromaterijal u hemijskoj industriji predviđen je povrat, a ne oslobađanje), s tog aspekta je nebitno da li je etanol  denaturisan ili ne, odnosno da li je predmetna roba svrstana u tarifni podbroj 2207 10 ili  podbroj 2207 20. Međutim, samo usvajanje „liste denaturanata“ bi uvelike olakšao rad i carinskim organima koji se bave poslovima tarifskog razvrstavanja robe. 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Cijeneći prednje navedeno, s posebnim akcentom na određivanje tarifnog podbroja robe naglašavamo da bez uvida u karakter svakog pojedinačnog proizvoda koji mora biti opisan u skladu sa Harmonizovanim sistemom, nije moguće generalizovati klasifikaciju za veoma veliki broj roba koje bi se koristile kao repromaterijal u hemijskoj industriji, razvrstavajući nešto kao etanol i mješavine etanola (denaturisanog ili ne) iz tarifnog broja 2207 ili kao preparat na bazi etanola iz drugih tarifnih brojeva Carinske tarife (3004, 3302, 3303, 3402, 3606, 3814, 3820, 3824), a ne uzimajući pri tome u obzir karakter i namjenu proizvoda, te specifičnosti svakog pojedinačnog proizvoda. 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S tim u vezi naglašavamo da tarifni broj 2207 obuhvata nedenaturisani etil alkohol sa zapreminskim učešćem alkohola 80% ili većim, te etil alkohol denaturisani bilo koje jačine i ostale alkohole (ostale špirite, tj. mješavine denaturisanog etanola) bilo koje jačine, dok s druge strane tarifni broj 3820, obuhvata preparate protiv smrzavanja i pripremljene tečnosti za odleđivanje (Glava 38 CT obuhvata razne, uglavnom pripremljene proizvode i preparate hemijske industrije, sa tačno navedenom namjenom u naimenovanju tarifnog broja). Prednje navedeno posebno ističemo zbog činjenice da je predmetno preduzeće vršilo uvoz repromaterijala od strane više dobavljača, različitog hemijskog sastava.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lastRenderedPageBreak/>
        <w:t xml:space="preserve">Koliko je tarifno razvrstavanja robe kompleksno u predmetnoj oblasti govori i činjenica da je Evropska komisija Obavještenjem od 04.06.2020.godine donijela odluku da suspenduje izdavanje OIT-a (BTI) na najduže 10 mjeseci od dana donošenja odluke o suspenziji (04.06.2020.) ili do dana razrješavanja pitanja tarifne klasifikacije za robu: </w:t>
      </w:r>
    </w:p>
    <w:p w:rsid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''anti-freezing and de-icing fluid concentrate for windscreen washers'' (koncentrat tečnosti proziv smrzavanja i odmrzavanja vjetrobranskog stakla). Ovakva odluka je donijeta iz razloga što se pojavilo neujednačeno svrstavanje iste ili slične robe na nivou EU (neujednačenost u BTI bazi: 2207 ili 3820).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Još jednom napominjemo da je problem uvoza predmetne robe kao repromaterijala za proizvodnju, prisutan već određeno vrijeme, te su održavani sastanci sa predstavnicima uvoznika, proizvođača hemijske industrije i Vanjsko trgovinske komore, o čemu je upoznat i Upravni odbor UINO.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Uprava za indirektno oporezivanje, kao organ iz sistema izvršne vlasti koji je nadležan za provođenje propisa iz oblasti indirektnog oporezivanja, poduzima sve do sada naložene poslove i aktivnosti u dijelu svojih ovlasti. U tom smislu navodimo da su u Upravi za indirektno oporezivanje imenovane radne grupe za zakonodavstvo iz oblasti PDV-a i iz oblasti akcize, koje su sačinile prednacrte zakona o PDV-u i zakona o akcizama u BiH. Napominjemo da se radi o novim propisima, budući da stepen potrebnih izmjena i dopuna važećih zakona iz pomenutih oblasti, a u cilju harmonizacije istih sa važećom EU regulativom, zahtijeva promjenu u obimu koji nalaže donošenje novog propisa u slučajevima oba pomenuta indirektna poreza, a shodno Jedinstvenim pravilima za izradu pravnih propisa u institucijama BiH. </w:t>
      </w:r>
    </w:p>
    <w:p w:rsidR="007B1375" w:rsidRPr="007B1375" w:rsidRDefault="007B1375" w:rsidP="007B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1375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Usvajanjem novih propisa iz oblasti akciza, u kojima je između ostalog sadržana i potpuna i djelimična denaturacija etanola, uvelike će olakšat kako prilikom tarifnog razvrstavanja, tako i samo poslovanje preduzećima koja se bave uvozom ove vrste robe i koji predmetnu robu koriste kao repromaterijal.</w:t>
      </w:r>
    </w:p>
    <w:p w:rsidR="008F4FA6" w:rsidRDefault="008F4FA6"/>
    <w:sectPr w:rsidR="008F4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75"/>
    <w:rsid w:val="001F353A"/>
    <w:rsid w:val="007B1375"/>
    <w:rsid w:val="008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21920-164B-44D6-82EE-B8AFE53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2020-07-31T12:51:00Z</dcterms:created>
  <dcterms:modified xsi:type="dcterms:W3CDTF">2020-07-31T12:53:00Z</dcterms:modified>
</cp:coreProperties>
</file>